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F839" w14:textId="77777777" w:rsidR="002811D2" w:rsidRPr="002811D2" w:rsidRDefault="002811D2" w:rsidP="002811D2">
      <w:pPr>
        <w:spacing w:after="240" w:line="480" w:lineRule="atLeast"/>
        <w:outlineLvl w:val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CONVERSATION SUMMARY – REFLECTION POINT</w:t>
      </w:r>
    </w:p>
    <w:p w14:paraId="6F2B7B7F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We've covered a huge amount. Let me crystallise it into 5 core truths.</w:t>
      </w:r>
    </w:p>
    <w:p w14:paraId="722D9A57" w14:textId="77777777" w:rsidR="002811D2" w:rsidRPr="002811D2" w:rsidRDefault="006066CC" w:rsidP="002811D2">
      <w:pPr>
        <w:spacing w:before="480" w:after="480"/>
        <w:rPr>
          <w:rFonts w:ascii="Calibri" w:eastAsia="Times New Roman" w:hAnsi="Calibri" w:cs="Calibri"/>
          <w:sz w:val="22"/>
          <w:szCs w:val="22"/>
          <w:lang w:eastAsia="en-GB"/>
        </w:rPr>
      </w:pPr>
      <w:r w:rsidRPr="006066CC">
        <w:rPr>
          <w:rFonts w:ascii="Calibri" w:eastAsia="Times New Roman" w:hAnsi="Calibri" w:cs="Calibri"/>
          <w:noProof/>
          <w:sz w:val="22"/>
          <w:szCs w:val="22"/>
          <w:lang w:eastAsia="en-GB"/>
        </w:rPr>
        <w:pict w14:anchorId="75C1356F"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</w:p>
    <w:p w14:paraId="5A86E853" w14:textId="77777777" w:rsidR="002811D2" w:rsidRPr="002811D2" w:rsidRDefault="002811D2" w:rsidP="002811D2">
      <w:pPr>
        <w:spacing w:before="480" w:after="240" w:line="450" w:lineRule="atLeast"/>
        <w:outlineLvl w:val="2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1. TRANSFER DUTY – CAN IT BE AVOIDED OR DELAYED?</w:t>
      </w:r>
    </w:p>
    <w:p w14:paraId="048BA793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Short answer: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br/>
      </w:r>
      <w:r w:rsidRPr="002811D2">
        <w:rPr>
          <w:rFonts w:ascii="Apple Color Emoji" w:eastAsia="Times New Roman" w:hAnsi="Apple Color Emoji" w:cs="Apple Color Emoji"/>
          <w:sz w:val="22"/>
          <w:szCs w:val="22"/>
          <w:lang w:eastAsia="en-GB"/>
        </w:rPr>
        <w:t>❌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Delay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–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No.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Transfer duty is payable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within 6–12 months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of acquisition. Vendor financing does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not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affect this deadline. SARS gets paid regardless of your payment schedule to the seller.</w:t>
      </w:r>
    </w:p>
    <w:p w14:paraId="7CA869B2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Apple Color Emoji" w:eastAsia="Times New Roman" w:hAnsi="Apple Color Emoji" w:cs="Apple Color Emoji"/>
          <w:sz w:val="22"/>
          <w:szCs w:val="22"/>
          <w:lang w:eastAsia="en-GB"/>
        </w:rPr>
        <w:t>✅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Avoid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–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Yes, but only under specific structures: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1463"/>
        <w:gridCol w:w="2249"/>
        <w:gridCol w:w="2850"/>
      </w:tblGrid>
      <w:tr w:rsidR="002811D2" w:rsidRPr="002811D2" w14:paraId="3FAD26BD" w14:textId="77777777" w:rsidTr="002811D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EBD3D0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Structure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29C008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Transfer Duty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B8DB36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How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BE541A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Conditions</w:t>
            </w:r>
          </w:p>
        </w:tc>
      </w:tr>
      <w:tr w:rsidR="002811D2" w:rsidRPr="002811D2" w14:paraId="73C1F867" w14:textId="77777777" w:rsidTr="00281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B40177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Share deal (commercial / &lt;50% residential)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A92625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Apple Color Emoji" w:eastAsia="Times New Roman" w:hAnsi="Apple Color Emoji" w:cs="Apple Color Emoji"/>
                <w:sz w:val="22"/>
                <w:szCs w:val="22"/>
                <w:lang w:eastAsia="en-GB"/>
              </w:rPr>
              <w:t>❌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Avoided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293348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Pay STT (0.25%) instead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A122D4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Target company not a "residential property company"</w:t>
            </w:r>
          </w:p>
        </w:tc>
      </w:tr>
      <w:tr w:rsidR="002811D2" w:rsidRPr="002811D2" w14:paraId="766B0459" w14:textId="77777777" w:rsidTr="00281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637C01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VAT vendor sale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99247B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Apple Color Emoji" w:eastAsia="Times New Roman" w:hAnsi="Apple Color Emoji" w:cs="Apple Color Emoji"/>
                <w:sz w:val="22"/>
                <w:szCs w:val="22"/>
                <w:lang w:eastAsia="en-GB"/>
              </w:rPr>
              <w:t>❌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Avoided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194EBC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Pay 15% VAT instead, claim input VAT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EE6A27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Seller is VAT vendor; property is taxable supply</w:t>
            </w:r>
          </w:p>
        </w:tc>
      </w:tr>
      <w:tr w:rsidR="002811D2" w:rsidRPr="002811D2" w14:paraId="40257310" w14:textId="77777777" w:rsidTr="00281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92D4A7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Instalment sale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F4CA22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Apple Color Emoji" w:eastAsia="Times New Roman" w:hAnsi="Apple Color Emoji" w:cs="Apple Color Emoji"/>
                <w:sz w:val="22"/>
                <w:szCs w:val="22"/>
                <w:lang w:eastAsia="en-GB"/>
              </w:rPr>
              <w:t>❌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Not delayed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FB4E6D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Pay at contract date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FC6E70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Still due immediately</w:t>
            </w:r>
          </w:p>
        </w:tc>
      </w:tr>
    </w:tbl>
    <w:p w14:paraId="77BC0560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Verdict: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br/>
        <w:t>You cannot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delay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transfer duty. You can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avoid it entirely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via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share deals on qualifying properties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or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VAT vendor acquisitions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– but these are structural choices, not timing tricks.</w:t>
      </w:r>
    </w:p>
    <w:p w14:paraId="0327288B" w14:textId="77777777" w:rsidR="002811D2" w:rsidRPr="002811D2" w:rsidRDefault="006066CC" w:rsidP="002811D2">
      <w:pPr>
        <w:spacing w:before="480" w:after="48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noProof/>
          <w:sz w:val="22"/>
          <w:szCs w:val="22"/>
          <w:lang w:eastAsia="en-GB"/>
        </w:rPr>
        <w:pict w14:anchorId="102BC868"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</w:p>
    <w:p w14:paraId="104B08EF" w14:textId="77777777" w:rsidR="002811D2" w:rsidRPr="002811D2" w:rsidRDefault="002811D2" w:rsidP="002811D2">
      <w:pPr>
        <w:spacing w:before="480" w:after="240" w:line="450" w:lineRule="atLeast"/>
        <w:outlineLvl w:val="2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2. VENDOR FINANCING – IS IT THE WRONG ROUTE?</w:t>
      </w:r>
    </w:p>
    <w:p w14:paraId="29A2614A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No – it's still a powerful tool.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br/>
        <w:t>But you were mixing up two different problems: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7"/>
        <w:gridCol w:w="7013"/>
      </w:tblGrid>
      <w:tr w:rsidR="002811D2" w:rsidRPr="002811D2" w14:paraId="440B6FBB" w14:textId="77777777" w:rsidTr="002811D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B21A8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lastRenderedPageBreak/>
              <w:t>Problem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C718B3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Vendor Financing's Role</w:t>
            </w:r>
          </w:p>
        </w:tc>
      </w:tr>
      <w:tr w:rsidR="002811D2" w:rsidRPr="002811D2" w14:paraId="7A671155" w14:textId="77777777" w:rsidTr="00281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CA3792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Reducing upfront equity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C29F53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Apple Color Emoji" w:eastAsia="Times New Roman" w:hAnsi="Apple Color Emoji" w:cs="Apple Color Emoji"/>
                <w:sz w:val="22"/>
                <w:szCs w:val="22"/>
                <w:lang w:eastAsia="en-GB"/>
              </w:rPr>
              <w:t>✔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Excellent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 – less cash from </w:t>
            </w:r>
            <w:proofErr w:type="spellStart"/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HoldCo</w:t>
            </w:r>
            <w:proofErr w:type="spellEnd"/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, higher IRR</w:t>
            </w:r>
          </w:p>
        </w:tc>
      </w:tr>
      <w:tr w:rsidR="002811D2" w:rsidRPr="002811D2" w14:paraId="18FB1853" w14:textId="77777777" w:rsidTr="00281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10F671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Avoiding / delaying transfer duty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CB43F7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Segoe UI Symbol" w:eastAsia="Times New Roman" w:hAnsi="Segoe UI Symbol" w:cs="Segoe UI Symbol"/>
                <w:sz w:val="22"/>
                <w:szCs w:val="22"/>
                <w:lang w:eastAsia="en-GB"/>
              </w:rPr>
              <w:t>✘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Irrelevant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– transfer duty is a separate liability to SARS</w:t>
            </w:r>
          </w:p>
        </w:tc>
      </w:tr>
    </w:tbl>
    <w:p w14:paraId="73E0E777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Ideal use of vendor financing:</w:t>
      </w:r>
    </w:p>
    <w:p w14:paraId="161CACBB" w14:textId="77777777" w:rsidR="002811D2" w:rsidRPr="002811D2" w:rsidRDefault="002811D2" w:rsidP="002811D2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Asset deals: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Vendor provides loan → reduces equity required → improves returns. Transfer duty still payable.</w:t>
      </w:r>
    </w:p>
    <w:p w14:paraId="651B3602" w14:textId="77777777" w:rsidR="002811D2" w:rsidRPr="002811D2" w:rsidRDefault="002811D2" w:rsidP="002811D2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Share deals: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Vendor sells shares, can still provide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loan secured by shares/property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→ same leverage effect. No transfer duty (if commercial).</w:t>
      </w:r>
    </w:p>
    <w:p w14:paraId="5FF3CDC8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So vendor financing is NOT the wrong route – it's just not a tax avoidance tool.</w:t>
      </w:r>
    </w:p>
    <w:p w14:paraId="272A5071" w14:textId="77777777" w:rsidR="002811D2" w:rsidRPr="002811D2" w:rsidRDefault="006066CC" w:rsidP="002811D2">
      <w:pPr>
        <w:spacing w:before="480" w:after="48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noProof/>
          <w:sz w:val="22"/>
          <w:szCs w:val="22"/>
          <w:lang w:eastAsia="en-GB"/>
        </w:rPr>
        <w:pict w14:anchorId="7AB3F29A"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14:paraId="1D5CD047" w14:textId="77777777" w:rsidR="002811D2" w:rsidRPr="002811D2" w:rsidRDefault="002811D2" w:rsidP="002811D2">
      <w:pPr>
        <w:spacing w:before="480" w:after="240" w:line="450" w:lineRule="atLeast"/>
        <w:outlineLvl w:val="2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3. THE "REZONING EDGE" – WHAT IT ACTUALLY GIVES YOU</w:t>
      </w:r>
    </w:p>
    <w:p w14:paraId="0CAEE360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You asked: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If properties are residential but we rezone to commercial, how does that work in our favour?</w:t>
      </w:r>
    </w:p>
    <w:p w14:paraId="2C559A77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Here's the real answer – and it's subtle: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9232"/>
      </w:tblGrid>
      <w:tr w:rsidR="002811D2" w:rsidRPr="002811D2" w14:paraId="04A021D9" w14:textId="77777777" w:rsidTr="002811D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1390BC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Perceived Benefit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45D67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Reality</w:t>
            </w:r>
          </w:p>
        </w:tc>
      </w:tr>
      <w:tr w:rsidR="002811D2" w:rsidRPr="002811D2" w14:paraId="4DF85110" w14:textId="77777777" w:rsidTr="00281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3F24C1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Apple Color Emoji" w:eastAsia="Times New Roman" w:hAnsi="Apple Color Emoji" w:cs="Apple Color Emoji"/>
                <w:sz w:val="22"/>
                <w:szCs w:val="22"/>
                <w:lang w:eastAsia="en-GB"/>
              </w:rPr>
              <w:t>❌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Avoid transfer duty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1A5F4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No.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Transfer duty is paid at acquisition, based on </w:t>
            </w: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intended use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 If you intend commercial use, you claim VAT back – but you still pay duty (or VAT) upfront.</w:t>
            </w:r>
          </w:p>
        </w:tc>
      </w:tr>
      <w:tr w:rsidR="002811D2" w:rsidRPr="002811D2" w14:paraId="437090D1" w14:textId="77777777" w:rsidTr="00281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4AC155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Apple Color Emoji" w:eastAsia="Times New Roman" w:hAnsi="Apple Color Emoji" w:cs="Apple Color Emoji"/>
                <w:sz w:val="22"/>
                <w:szCs w:val="22"/>
                <w:lang w:eastAsia="en-GB"/>
              </w:rPr>
              <w:t>❌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Delay transfer duty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E7B0A6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No.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Duty is due within months, not years.</w:t>
            </w:r>
          </w:p>
        </w:tc>
      </w:tr>
      <w:tr w:rsidR="002811D2" w:rsidRPr="002811D2" w14:paraId="4A0A91CA" w14:textId="77777777" w:rsidTr="00281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708AD3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Apple Color Emoji" w:eastAsia="Times New Roman" w:hAnsi="Apple Color Emoji" w:cs="Apple Color Emoji"/>
                <w:sz w:val="22"/>
                <w:szCs w:val="22"/>
                <w:lang w:eastAsia="en-GB"/>
              </w:rPr>
              <w:t>✅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Immediate VAT recovery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8AA5E2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Yes.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If you acquire from non-vendor and intend commercial use, you can claim </w:t>
            </w: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notional input VAT (15/115 of purchase price)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in your first VAT return. This is </w:t>
            </w: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immediate cash back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– typically 13% of purchase price.</w:t>
            </w:r>
          </w:p>
        </w:tc>
      </w:tr>
      <w:tr w:rsidR="002811D2" w:rsidRPr="002811D2" w14:paraId="2BE501A7" w14:textId="77777777" w:rsidTr="00281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87BF30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Apple Color Emoji" w:eastAsia="Times New Roman" w:hAnsi="Apple Color Emoji" w:cs="Apple Color Emoji"/>
                <w:sz w:val="22"/>
                <w:szCs w:val="22"/>
                <w:lang w:eastAsia="en-GB"/>
              </w:rPr>
              <w:t>✅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Higher exit value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BE4EE1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Yes.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Commercial zoning + commercial income = higher NOI, lower cap rate → significantly higher property value at exit.</w:t>
            </w:r>
          </w:p>
        </w:tc>
      </w:tr>
      <w:tr w:rsidR="002811D2" w:rsidRPr="002811D2" w14:paraId="3F90D1F2" w14:textId="77777777" w:rsidTr="002811D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7D3D83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Apple Color Emoji" w:eastAsia="Times New Roman" w:hAnsi="Apple Color Emoji" w:cs="Apple Color Emoji"/>
                <w:sz w:val="22"/>
                <w:szCs w:val="22"/>
                <w:lang w:eastAsia="en-GB"/>
              </w:rPr>
              <w:t>✅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Better financing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AD75E6" w14:textId="77777777" w:rsidR="002811D2" w:rsidRPr="002811D2" w:rsidRDefault="002811D2" w:rsidP="002811D2">
            <w:pPr>
              <w:spacing w:line="375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2811D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Yes.</w:t>
            </w:r>
            <w:r w:rsidRPr="002811D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Commercial property attracts higher LTV, lower rates.</w:t>
            </w:r>
          </w:p>
        </w:tc>
      </w:tr>
    </w:tbl>
    <w:p w14:paraId="31D2FF24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lastRenderedPageBreak/>
        <w:t>So the edge is:</w:t>
      </w:r>
    </w:p>
    <w:p w14:paraId="0692D3D6" w14:textId="77777777" w:rsidR="002811D2" w:rsidRPr="002811D2" w:rsidRDefault="002811D2" w:rsidP="002811D2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Acquire residential-zoned property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with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declared commercial intent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.</w:t>
      </w:r>
    </w:p>
    <w:p w14:paraId="49D55E5B" w14:textId="77777777" w:rsidR="002811D2" w:rsidRPr="002811D2" w:rsidRDefault="002811D2" w:rsidP="002811D2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Pay transfer duty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(if non-vendor) – no escape.</w:t>
      </w:r>
    </w:p>
    <w:p w14:paraId="1991A9F2" w14:textId="77777777" w:rsidR="002811D2" w:rsidRPr="002811D2" w:rsidRDefault="002811D2" w:rsidP="002811D2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Immediately claim notional VAT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– get ~13% cash back in Year 1.</w:t>
      </w:r>
    </w:p>
    <w:p w14:paraId="04315713" w14:textId="77777777" w:rsidR="002811D2" w:rsidRPr="002811D2" w:rsidRDefault="002811D2" w:rsidP="002811D2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Operate commercially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(short-term lets, offices) while zoning is still residential – this is </w:t>
      </w: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legal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(SARS cares about use, not zoning).</w:t>
      </w:r>
    </w:p>
    <w:p w14:paraId="73E6232E" w14:textId="77777777" w:rsidR="002811D2" w:rsidRPr="002811D2" w:rsidRDefault="002811D2" w:rsidP="002811D2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Rezone later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– fund from operating cash flow or refinance.</w:t>
      </w:r>
    </w:p>
    <w:p w14:paraId="5EE08D27" w14:textId="77777777" w:rsidR="002811D2" w:rsidRPr="002811D2" w:rsidRDefault="002811D2" w:rsidP="002811D2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Refinance or sell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at commercial valuation.</w:t>
      </w:r>
    </w:p>
    <w:p w14:paraId="6793EB4E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Transfer duty is not avoided or delayed – but the cash flow impact is mitigated by the VAT refund.</w:t>
      </w:r>
    </w:p>
    <w:p w14:paraId="30B6FCE2" w14:textId="77777777" w:rsidR="002811D2" w:rsidRPr="002811D2" w:rsidRDefault="006066CC" w:rsidP="002811D2">
      <w:pPr>
        <w:spacing w:before="480" w:after="480"/>
        <w:rPr>
          <w:rFonts w:ascii="Calibri" w:eastAsia="Times New Roman" w:hAnsi="Calibri" w:cs="Calibri"/>
          <w:sz w:val="22"/>
          <w:szCs w:val="22"/>
          <w:lang w:eastAsia="en-GB"/>
        </w:rPr>
      </w:pPr>
      <w:r w:rsidRPr="006066CC">
        <w:rPr>
          <w:rFonts w:ascii="Calibri" w:eastAsia="Times New Roman" w:hAnsi="Calibri" w:cs="Calibri"/>
          <w:noProof/>
          <w:sz w:val="22"/>
          <w:szCs w:val="22"/>
          <w:lang w:eastAsia="en-GB"/>
        </w:rPr>
        <w:pict w14:anchorId="646F0052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77103301" w14:textId="77777777" w:rsidR="002811D2" w:rsidRPr="002811D2" w:rsidRDefault="002811D2" w:rsidP="002811D2">
      <w:pPr>
        <w:spacing w:before="480" w:after="240" w:line="450" w:lineRule="atLeast"/>
        <w:outlineLvl w:val="2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4. THE IDEAL STRUCTURE – SUMMARISED</w:t>
      </w:r>
    </w:p>
    <w:p w14:paraId="4381A373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If property qualifies as "commercial" (&lt;50% residential by value) OR you can structure as share deal:</w:t>
      </w:r>
    </w:p>
    <w:p w14:paraId="5F6856CE" w14:textId="77777777" w:rsidR="002811D2" w:rsidRPr="002811D2" w:rsidRDefault="002811D2" w:rsidP="002811D2">
      <w:pPr>
        <w:spacing w:line="189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text</w:t>
      </w:r>
    </w:p>
    <w:p w14:paraId="40D7097B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 xml:space="preserve">1. Share purchase agreement (buy shares of </w:t>
      </w:r>
      <w:proofErr w:type="spellStart"/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PropCo</w:t>
      </w:r>
      <w:proofErr w:type="spellEnd"/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).</w:t>
      </w:r>
    </w:p>
    <w:p w14:paraId="14939C10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2. Vendor provides vendor finance – loan secured by shares/property.</w:t>
      </w:r>
    </w:p>
    <w:p w14:paraId="7DD6C642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3. No transfer duty – only STT 0.25% + conveyancing savings.</w:t>
      </w:r>
    </w:p>
    <w:p w14:paraId="3380D7E0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4. VAT? Not applicable (share sale is exempt).</w:t>
      </w:r>
    </w:p>
    <w:p w14:paraId="70E676A0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5. Equity required = Purchase Price - Vendor Loan + STT + other costs.</w:t>
      </w:r>
    </w:p>
    <w:p w14:paraId="5461D88D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6. IRR improves due to lower acquisition costs.</w:t>
      </w:r>
    </w:p>
    <w:p w14:paraId="48BD7FF3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If property is residential and you intend commercial use (asset deal):</w:t>
      </w:r>
    </w:p>
    <w:p w14:paraId="28E2683E" w14:textId="77777777" w:rsidR="002811D2" w:rsidRPr="002811D2" w:rsidRDefault="002811D2" w:rsidP="002811D2">
      <w:pPr>
        <w:spacing w:line="189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text</w:t>
      </w:r>
    </w:p>
    <w:p w14:paraId="10C5D9A2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1. Asset purchase from non-vendor.</w:t>
      </w:r>
    </w:p>
    <w:p w14:paraId="113ADDCB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2. Vendor provides vendor finance – loan secured by property.</w:t>
      </w:r>
    </w:p>
    <w:p w14:paraId="1A5B623B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3. Transfer duty payable (sliding scale) – no avoidance.</w:t>
      </w:r>
    </w:p>
    <w:p w14:paraId="3ED42EBA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4. Notional input VAT claimed immediately – cash inflow Year 1.</w:t>
      </w:r>
    </w:p>
    <w:p w14:paraId="6D115F5F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5. Equity required = Purchase Price - Vendor Loan + Transfer Duty + other costs - VAT refund.</w:t>
      </w:r>
    </w:p>
    <w:p w14:paraId="4E84BC7E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6. Rezone later – fund from cash flow.</w:t>
      </w:r>
    </w:p>
    <w:p w14:paraId="554006B6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7. IRR improves due to VAT refund and leverage.</w:t>
      </w:r>
    </w:p>
    <w:p w14:paraId="144E6543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If seller is VAT vendor:</w:t>
      </w:r>
    </w:p>
    <w:p w14:paraId="1E8F7975" w14:textId="77777777" w:rsidR="002811D2" w:rsidRPr="002811D2" w:rsidRDefault="002811D2" w:rsidP="002811D2">
      <w:pPr>
        <w:spacing w:line="189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text</w:t>
      </w:r>
    </w:p>
    <w:p w14:paraId="0133473D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1. Asset purchase, VAT applies (15%).</w:t>
      </w:r>
    </w:p>
    <w:p w14:paraId="27409873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2. Pay VAT upfront, claim input VAT (immediate cash flow neutral if timed well).</w:t>
      </w:r>
    </w:p>
    <w:p w14:paraId="74252A79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3. No transfer duty.</w:t>
      </w:r>
    </w:p>
    <w:p w14:paraId="50DB603A" w14:textId="77777777" w:rsidR="002811D2" w:rsidRPr="002811D2" w:rsidRDefault="002811D2" w:rsidP="00281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4. Vendor finance still reduces equity.</w:t>
      </w:r>
    </w:p>
    <w:p w14:paraId="0B076179" w14:textId="77777777" w:rsidR="002811D2" w:rsidRPr="002811D2" w:rsidRDefault="006066CC" w:rsidP="002811D2">
      <w:pPr>
        <w:spacing w:before="480" w:after="480"/>
        <w:rPr>
          <w:rFonts w:ascii="Calibri" w:eastAsia="Times New Roman" w:hAnsi="Calibri" w:cs="Calibri"/>
          <w:sz w:val="22"/>
          <w:szCs w:val="22"/>
          <w:lang w:eastAsia="en-GB"/>
        </w:rPr>
      </w:pPr>
      <w:r w:rsidRPr="006066CC">
        <w:rPr>
          <w:rFonts w:ascii="Calibri" w:eastAsia="Times New Roman" w:hAnsi="Calibri" w:cs="Calibri"/>
          <w:noProof/>
          <w:sz w:val="22"/>
          <w:szCs w:val="22"/>
          <w:lang w:eastAsia="en-GB"/>
        </w:rPr>
        <w:lastRenderedPageBreak/>
        <w:pict w14:anchorId="116C25BB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</w:p>
    <w:p w14:paraId="35330E9D" w14:textId="77777777" w:rsidR="002811D2" w:rsidRPr="002811D2" w:rsidRDefault="002811D2" w:rsidP="002811D2">
      <w:pPr>
        <w:spacing w:before="480" w:after="240" w:line="450" w:lineRule="atLeast"/>
        <w:outlineLvl w:val="2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5. THE MODELLER'S NEXT STEP – WHAT WE HAVEN'T YET BUILT</w:t>
      </w:r>
    </w:p>
    <w:p w14:paraId="02C46499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You now have a clear roadmap for V4:</w:t>
      </w:r>
    </w:p>
    <w:p w14:paraId="4353E09A" w14:textId="77777777" w:rsidR="002811D2" w:rsidRPr="002811D2" w:rsidRDefault="002811D2" w:rsidP="002811D2">
      <w:pPr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Multi-property portfolio engine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 xml:space="preserve"> – mandatory for </w:t>
      </w:r>
      <w:proofErr w:type="spellStart"/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HoldCo</w:t>
      </w:r>
      <w:proofErr w:type="spellEnd"/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 xml:space="preserve"> NAV and tokenisation.</w:t>
      </w:r>
    </w:p>
    <w:p w14:paraId="03DC556F" w14:textId="77777777" w:rsidR="002811D2" w:rsidRPr="002811D2" w:rsidRDefault="002811D2" w:rsidP="002811D2">
      <w:pPr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ZA acquisition structuring module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– toggles for Asset/Share deal, VAT status, residential %, transfer duty slider, STT, notional VAT claim.</w:t>
      </w:r>
    </w:p>
    <w:p w14:paraId="36C63381" w14:textId="77777777" w:rsidR="002811D2" w:rsidRPr="002811D2" w:rsidRDefault="002811D2" w:rsidP="002811D2">
      <w:pPr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Rezoning &amp; VAT recovery module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– intent toggle, notional VAT cash inflow, rezoning cost, timing.</w:t>
      </w:r>
    </w:p>
    <w:p w14:paraId="6CB2ADD5" w14:textId="77777777" w:rsidR="002811D2" w:rsidRPr="002811D2" w:rsidRDefault="002811D2" w:rsidP="002811D2">
      <w:pPr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Refinance module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– institutional debt, vendor loan payoff, cash distribution.</w:t>
      </w:r>
    </w:p>
    <w:p w14:paraId="1DC3B9A5" w14:textId="77777777" w:rsidR="002811D2" w:rsidRPr="002811D2" w:rsidRDefault="002811D2" w:rsidP="002811D2">
      <w:pPr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Tokenisation as liquidity event</w:t>
      </w:r>
      <w:r w:rsidRPr="002811D2">
        <w:rPr>
          <w:rFonts w:ascii="Calibri" w:eastAsia="Times New Roman" w:hAnsi="Calibri" w:cs="Calibri"/>
          <w:sz w:val="22"/>
          <w:szCs w:val="22"/>
          <w:lang w:eastAsia="en-GB"/>
        </w:rPr>
        <w:t> – not just NAV × 1, but costs, issuance, investor impact.</w:t>
      </w:r>
    </w:p>
    <w:p w14:paraId="78B5ACC1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You do not need to rebuild from scratch. You need to expand the input layer and calculation logic to reflect these real-world choices.</w:t>
      </w:r>
    </w:p>
    <w:p w14:paraId="6CB162B2" w14:textId="77777777" w:rsidR="002811D2" w:rsidRPr="002811D2" w:rsidRDefault="006066CC" w:rsidP="002811D2">
      <w:pPr>
        <w:spacing w:before="480" w:after="480"/>
        <w:rPr>
          <w:rFonts w:ascii="Calibri" w:eastAsia="Times New Roman" w:hAnsi="Calibri" w:cs="Calibri"/>
          <w:sz w:val="22"/>
          <w:szCs w:val="22"/>
          <w:lang w:eastAsia="en-GB"/>
        </w:rPr>
      </w:pPr>
      <w:r w:rsidRPr="006066CC">
        <w:rPr>
          <w:rFonts w:ascii="Calibri" w:eastAsia="Times New Roman" w:hAnsi="Calibri" w:cs="Calibri"/>
          <w:noProof/>
          <w:sz w:val="22"/>
          <w:szCs w:val="22"/>
          <w:lang w:eastAsia="en-GB"/>
        </w:rPr>
        <w:pict w14:anchorId="7CF02589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</w:p>
    <w:p w14:paraId="6C2426CB" w14:textId="77777777" w:rsidR="002811D2" w:rsidRPr="002811D2" w:rsidRDefault="002811D2" w:rsidP="002811D2">
      <w:pPr>
        <w:spacing w:before="480" w:after="240" w:line="480" w:lineRule="atLeast"/>
        <w:outlineLvl w:val="1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FINAL REFLECTION – ONE PARAGRAPH</w:t>
      </w:r>
    </w:p>
    <w:p w14:paraId="41F13BBF" w14:textId="77777777" w:rsidR="002811D2" w:rsidRPr="002811D2" w:rsidRDefault="002811D2" w:rsidP="002811D2">
      <w:pPr>
        <w:spacing w:before="240" w:after="240"/>
        <w:rPr>
          <w:rFonts w:ascii="Calibri" w:eastAsia="Times New Roman" w:hAnsi="Calibri" w:cs="Calibri"/>
          <w:sz w:val="22"/>
          <w:szCs w:val="22"/>
          <w:lang w:eastAsia="en-GB"/>
        </w:rPr>
      </w:pPr>
      <w:r w:rsidRPr="002811D2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Vendor financing is not a tool to avoid transfer duty; it is a tool to reduce equity and amplify returns. Transfer duty can be avoided entirely through share deals on qualifying commercial property, or mitigated via immediate VAT recovery on residential-to-commercial conversions. The edge lies in sequencing: acquire with vendor leverage, recover VAT immediately, operate commercially, rezone later, refinance at commercial terms, then exit or tokenise. Your model must now allow the user to simulate these choices – not as separate spreadsheets, but as a single integrated platform.</w:t>
      </w:r>
    </w:p>
    <w:p w14:paraId="599E3A29" w14:textId="77777777" w:rsidR="009C41A1" w:rsidRPr="002811D2" w:rsidRDefault="00000000" w:rsidP="002811D2">
      <w:pPr>
        <w:rPr>
          <w:rFonts w:ascii="Calibri" w:hAnsi="Calibri" w:cs="Calibri"/>
          <w:sz w:val="22"/>
          <w:szCs w:val="22"/>
        </w:rPr>
      </w:pPr>
    </w:p>
    <w:sectPr w:rsidR="009C41A1" w:rsidRPr="002811D2" w:rsidSect="00CE2E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D20"/>
    <w:multiLevelType w:val="multilevel"/>
    <w:tmpl w:val="B2FC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3CB0"/>
    <w:multiLevelType w:val="multilevel"/>
    <w:tmpl w:val="E10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B49B4"/>
    <w:multiLevelType w:val="multilevel"/>
    <w:tmpl w:val="81CE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300397">
    <w:abstractNumId w:val="1"/>
  </w:num>
  <w:num w:numId="2" w16cid:durableId="2044667605">
    <w:abstractNumId w:val="0"/>
  </w:num>
  <w:num w:numId="3" w16cid:durableId="1990012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D2"/>
    <w:rsid w:val="000C05E4"/>
    <w:rsid w:val="00177A5A"/>
    <w:rsid w:val="002811D2"/>
    <w:rsid w:val="004534B1"/>
    <w:rsid w:val="004645AC"/>
    <w:rsid w:val="00532CA8"/>
    <w:rsid w:val="00543A45"/>
    <w:rsid w:val="005504B2"/>
    <w:rsid w:val="005A60FE"/>
    <w:rsid w:val="006066CC"/>
    <w:rsid w:val="00617526"/>
    <w:rsid w:val="0082438D"/>
    <w:rsid w:val="009975EE"/>
    <w:rsid w:val="00A35E83"/>
    <w:rsid w:val="00AD66AA"/>
    <w:rsid w:val="00BE1DD8"/>
    <w:rsid w:val="00C616CC"/>
    <w:rsid w:val="00C9116F"/>
    <w:rsid w:val="00CB2448"/>
    <w:rsid w:val="00CE2E8F"/>
    <w:rsid w:val="00D827C9"/>
    <w:rsid w:val="00E55F96"/>
    <w:rsid w:val="00EE2FE7"/>
    <w:rsid w:val="00FD503D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94F4"/>
  <w15:chartTrackingRefBased/>
  <w15:docId w15:val="{004AE7F6-4BBA-CC46-A4E2-DDB62C18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DD8"/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1D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link w:val="Heading2Char"/>
    <w:uiPriority w:val="9"/>
    <w:qFormat/>
    <w:rsid w:val="002811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DD8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1DD8"/>
    <w:rPr>
      <w:rFonts w:eastAsiaTheme="majorEastAsia" w:cstheme="majorBidi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811D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ds-markdown-paragraph">
    <w:name w:val="ds-markdown-paragraph"/>
    <w:basedOn w:val="Normal"/>
    <w:rsid w:val="002811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2811D2"/>
    <w:rPr>
      <w:b/>
      <w:bCs/>
    </w:rPr>
  </w:style>
  <w:style w:type="character" w:customStyle="1" w:styleId="d813de27">
    <w:name w:val="d813de27"/>
    <w:basedOn w:val="DefaultParagraphFont"/>
    <w:rsid w:val="002811D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1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11D2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189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0782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134667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3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 Conde'</dc:creator>
  <cp:keywords/>
  <dc:description/>
  <cp:lastModifiedBy>Sean D Conde'</cp:lastModifiedBy>
  <cp:revision>1</cp:revision>
  <dcterms:created xsi:type="dcterms:W3CDTF">2026-02-12T07:11:00Z</dcterms:created>
  <dcterms:modified xsi:type="dcterms:W3CDTF">2026-02-12T07:12:00Z</dcterms:modified>
</cp:coreProperties>
</file>